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706F6" w14:textId="3A6C9FF5" w:rsidR="00C900AF" w:rsidRPr="00CC29CA" w:rsidRDefault="00C900AF" w:rsidP="00C900A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Werkafspraak </w:t>
      </w:r>
      <w:r w:rsidR="009369C5">
        <w:rPr>
          <w:rFonts w:cstheme="minorHAnsi"/>
          <w:b/>
          <w:sz w:val="28"/>
          <w:szCs w:val="28"/>
        </w:rPr>
        <w:t xml:space="preserve">het aanvragen van een </w:t>
      </w:r>
      <w:proofErr w:type="spellStart"/>
      <w:r>
        <w:rPr>
          <w:rFonts w:cstheme="minorHAnsi"/>
          <w:b/>
          <w:sz w:val="28"/>
          <w:szCs w:val="28"/>
        </w:rPr>
        <w:t>Fibroscan</w:t>
      </w:r>
      <w:bookmarkStart w:id="0" w:name="_GoBack"/>
      <w:bookmarkEnd w:id="0"/>
      <w:proofErr w:type="spellEnd"/>
    </w:p>
    <w:p w14:paraId="1B3302A8" w14:textId="77777777" w:rsidR="00EB5764" w:rsidRDefault="00EB5764" w:rsidP="0021389A">
      <w:pPr>
        <w:jc w:val="both"/>
        <w:rPr>
          <w:b/>
        </w:rPr>
      </w:pPr>
      <w:r w:rsidRPr="00EB5764">
        <w:rPr>
          <w:b/>
        </w:rPr>
        <w:t xml:space="preserve">Identificeren van hoog-risico </w:t>
      </w:r>
      <w:r w:rsidR="00A64DF0" w:rsidRPr="00EB5764">
        <w:rPr>
          <w:b/>
        </w:rPr>
        <w:t>patiënten</w:t>
      </w:r>
      <w:r w:rsidRPr="00EB5764">
        <w:rPr>
          <w:b/>
        </w:rPr>
        <w:t xml:space="preserve"> met </w:t>
      </w:r>
      <w:r>
        <w:rPr>
          <w:b/>
        </w:rPr>
        <w:t>leververvetting</w:t>
      </w:r>
      <w:r w:rsidR="0021389A">
        <w:rPr>
          <w:b/>
        </w:rPr>
        <w:t xml:space="preserve"> en mogelijkheid tot het maken van een </w:t>
      </w:r>
      <w:proofErr w:type="spellStart"/>
      <w:r w:rsidR="0021389A">
        <w:rPr>
          <w:b/>
        </w:rPr>
        <w:t>fibroscan</w:t>
      </w:r>
      <w:proofErr w:type="spellEnd"/>
    </w:p>
    <w:p w14:paraId="0EF9A11B" w14:textId="77777777" w:rsidR="00A64DF0" w:rsidRPr="00A64DF0" w:rsidRDefault="00A64DF0" w:rsidP="0021389A">
      <w:pPr>
        <w:jc w:val="both"/>
        <w:rPr>
          <w:b/>
        </w:rPr>
      </w:pPr>
    </w:p>
    <w:p w14:paraId="19A63385" w14:textId="77777777" w:rsidR="006F6496" w:rsidRDefault="00C02804" w:rsidP="0021389A">
      <w:pPr>
        <w:jc w:val="both"/>
      </w:pPr>
      <w:r w:rsidRPr="00C02804">
        <w:t xml:space="preserve">Metabole-disfunctie </w:t>
      </w:r>
      <w:proofErr w:type="spellStart"/>
      <w:r w:rsidRPr="00C02804">
        <w:t>geAssocieerde</w:t>
      </w:r>
      <w:proofErr w:type="spellEnd"/>
      <w:r w:rsidRPr="00C02804">
        <w:t xml:space="preserve"> </w:t>
      </w:r>
      <w:proofErr w:type="spellStart"/>
      <w:r w:rsidRPr="00C02804">
        <w:t>Steatoti</w:t>
      </w:r>
      <w:r>
        <w:t>sche</w:t>
      </w:r>
      <w:proofErr w:type="spellEnd"/>
      <w:r w:rsidRPr="00C02804">
        <w:t xml:space="preserve"> Leverziekte</w:t>
      </w:r>
      <w:r>
        <w:t xml:space="preserve"> (MASLD) is een groot gezondheidsprobleem. Met een prevalentie van ca. 25% in de algemene populatie en 50-75% in risico groepen</w:t>
      </w:r>
      <w:r w:rsidR="008D18ED">
        <w:t xml:space="preserve"> </w:t>
      </w:r>
      <w:r>
        <w:t>is het op dit moment de meest voorkomende leverziekte</w:t>
      </w:r>
      <w:r w:rsidR="003C24EC">
        <w:t xml:space="preserve"> in Nederland. </w:t>
      </w:r>
    </w:p>
    <w:p w14:paraId="18133D53" w14:textId="77777777" w:rsidR="00F30734" w:rsidRDefault="003C24EC" w:rsidP="0021389A">
      <w:pPr>
        <w:jc w:val="both"/>
      </w:pPr>
      <w:r>
        <w:t>De aanwezigheid van fibrose bij MASLD is een onafhankelijke risico factor voor lever-gerelateerde morbiditeit en mortaliteit maar ook voor de overall mortaliteit in deze groep. Identificatie van deze hoog risico leverpatiënten</w:t>
      </w:r>
      <w:r w:rsidR="00F30734">
        <w:t xml:space="preserve"> leidt tot </w:t>
      </w:r>
      <w:r w:rsidR="00510067">
        <w:t xml:space="preserve">verbetering van zorg waardoor </w:t>
      </w:r>
      <w:r w:rsidR="00F30734">
        <w:t xml:space="preserve">de </w:t>
      </w:r>
      <w:r w:rsidR="00DE5CB8">
        <w:t xml:space="preserve">complicaties </w:t>
      </w:r>
      <w:r w:rsidR="00F30734">
        <w:t xml:space="preserve">van chronisch geavanceerde leverziekte </w:t>
      </w:r>
      <w:r w:rsidR="00DE5CB8">
        <w:t>voorkomen</w:t>
      </w:r>
      <w:r w:rsidR="00510067">
        <w:t xml:space="preserve"> of vroegtijdig behandel</w:t>
      </w:r>
      <w:r w:rsidR="00545495">
        <w:t>d kunnen worden</w:t>
      </w:r>
      <w:r w:rsidR="00DE5CB8">
        <w:t xml:space="preserve">. Denk hierbij aan de ontwikkeling van hepatocellulair carcinoom, ascites, varicesbloedingen en hepatische encefalopathie. </w:t>
      </w:r>
    </w:p>
    <w:p w14:paraId="352461FC" w14:textId="77777777" w:rsidR="00CC2C6D" w:rsidRDefault="00EB5764" w:rsidP="0021389A">
      <w:pPr>
        <w:jc w:val="both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31A62C7" wp14:editId="364C3E0A">
            <wp:simplePos x="0" y="0"/>
            <wp:positionH relativeFrom="margin">
              <wp:posOffset>3957955</wp:posOffset>
            </wp:positionH>
            <wp:positionV relativeFrom="paragraph">
              <wp:posOffset>135890</wp:posOffset>
            </wp:positionV>
            <wp:extent cx="2228850" cy="3727450"/>
            <wp:effectExtent l="0" t="0" r="0" b="254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CB8">
        <w:t>Identificatie van deze hoog risico leverpatiënten</w:t>
      </w:r>
      <w:r w:rsidR="003C24EC">
        <w:t xml:space="preserve"> kan nu gemakkelijk met de </w:t>
      </w:r>
      <w:r w:rsidR="0028622C">
        <w:t>FIB-4 score</w:t>
      </w:r>
      <w:r w:rsidR="003C24EC">
        <w:t xml:space="preserve"> en eventueel een aanvullende </w:t>
      </w:r>
      <w:proofErr w:type="spellStart"/>
      <w:r w:rsidR="003C24EC">
        <w:t>fibroscan</w:t>
      </w:r>
      <w:proofErr w:type="spellEnd"/>
      <w:r w:rsidR="0028622C">
        <w:t xml:space="preserve"> van de lever. De FIB-4 score</w:t>
      </w:r>
      <w:r w:rsidR="00CC2C6D">
        <w:t xml:space="preserve"> wordt berekend uit de leeftijd van de </w:t>
      </w:r>
      <w:r w:rsidR="0028622C">
        <w:t>patiënt</w:t>
      </w:r>
      <w:r w:rsidR="00CC2C6D">
        <w:t>, het ASAT, ALAT en de trombocyten en kan nu midde</w:t>
      </w:r>
      <w:r w:rsidR="00C900AF">
        <w:t xml:space="preserve">ls regulier bloedonderzoek bij </w:t>
      </w:r>
      <w:proofErr w:type="spellStart"/>
      <w:r w:rsidR="00C900AF">
        <w:t>C</w:t>
      </w:r>
      <w:r w:rsidR="00CC2C6D">
        <w:t>erte</w:t>
      </w:r>
      <w:proofErr w:type="spellEnd"/>
      <w:r w:rsidR="00CC2C6D">
        <w:t xml:space="preserve"> aangevraagd worden</w:t>
      </w:r>
      <w:r w:rsidR="009E5EFF">
        <w:t>. De bepaling is te vinden</w:t>
      </w:r>
      <w:r w:rsidR="00CC2C6D">
        <w:t xml:space="preserve"> onder het kopje “chemie bijzonder”</w:t>
      </w:r>
      <w:r w:rsidR="009E5EFF">
        <w:t xml:space="preserve">. </w:t>
      </w:r>
      <w:r w:rsidR="00C900AF">
        <w:rPr>
          <w:rFonts w:eastAsia="Times New Roman" w:cstheme="minorHAnsi"/>
          <w:sz w:val="20"/>
          <w:szCs w:val="20"/>
          <w:lang w:eastAsia="nl-NL"/>
        </w:rPr>
        <w:t xml:space="preserve">Hij kan ook zelf berekend worden, de calculator is via internet te vinden </w:t>
      </w:r>
      <w:hyperlink r:id="rId11" w:history="1">
        <w:r w:rsidR="00C900AF">
          <w:rPr>
            <w:rStyle w:val="Hyperlink"/>
          </w:rPr>
          <w:t xml:space="preserve">Fibrosis-4 (FIB-4) Index </w:t>
        </w:r>
        <w:proofErr w:type="spellStart"/>
        <w:r w:rsidR="00C900AF">
          <w:rPr>
            <w:rStyle w:val="Hyperlink"/>
          </w:rPr>
          <w:t>for</w:t>
        </w:r>
        <w:proofErr w:type="spellEnd"/>
        <w:r w:rsidR="00C900AF">
          <w:rPr>
            <w:rStyle w:val="Hyperlink"/>
          </w:rPr>
          <w:t xml:space="preserve"> </w:t>
        </w:r>
        <w:proofErr w:type="spellStart"/>
        <w:r w:rsidR="00C900AF">
          <w:rPr>
            <w:rStyle w:val="Hyperlink"/>
          </w:rPr>
          <w:t>Liver</w:t>
        </w:r>
        <w:proofErr w:type="spellEnd"/>
        <w:r w:rsidR="00C900AF">
          <w:rPr>
            <w:rStyle w:val="Hyperlink"/>
          </w:rPr>
          <w:t xml:space="preserve"> Fibrosis</w:t>
        </w:r>
      </w:hyperlink>
      <w:r w:rsidR="00C900AF">
        <w:t>)</w:t>
      </w:r>
      <w:r w:rsidR="00C900AF">
        <w:rPr>
          <w:rFonts w:eastAsia="Times New Roman" w:cstheme="minorHAnsi"/>
          <w:sz w:val="20"/>
          <w:szCs w:val="20"/>
          <w:lang w:eastAsia="nl-NL"/>
        </w:rPr>
        <w:t>.</w:t>
      </w:r>
    </w:p>
    <w:p w14:paraId="4FCFC94D" w14:textId="20D16D8C" w:rsidR="0021389A" w:rsidRDefault="008D18ED" w:rsidP="0021389A">
      <w:pPr>
        <w:jc w:val="both"/>
      </w:pPr>
      <w:r>
        <w:t>Geadviseerd wordt om in de risico groepen (</w:t>
      </w:r>
      <w:r w:rsidR="00D0592B">
        <w:t>patiënten</w:t>
      </w:r>
      <w:r>
        <w:t xml:space="preserve"> met DM II, Obesitas, Metabool syndroom) en bij </w:t>
      </w:r>
      <w:r w:rsidR="00D0592B">
        <w:t>patiënten</w:t>
      </w:r>
      <w:r>
        <w:t xml:space="preserve"> met </w:t>
      </w:r>
      <w:proofErr w:type="spellStart"/>
      <w:r>
        <w:t>steatosis</w:t>
      </w:r>
      <w:proofErr w:type="spellEnd"/>
      <w:r>
        <w:t xml:space="preserve"> </w:t>
      </w:r>
      <w:proofErr w:type="spellStart"/>
      <w:r>
        <w:t>hepatis</w:t>
      </w:r>
      <w:proofErr w:type="spellEnd"/>
      <w:r>
        <w:t xml:space="preserve"> reeds vastgesteld op echo </w:t>
      </w:r>
      <w:r w:rsidR="00E032FE">
        <w:t>elke 3-5 jaar</w:t>
      </w:r>
      <w:r>
        <w:t xml:space="preserve"> de </w:t>
      </w:r>
      <w:r w:rsidR="003969C2">
        <w:t>FIB-4 score</w:t>
      </w:r>
      <w:r>
        <w:t xml:space="preserve"> te </w:t>
      </w:r>
      <w:r w:rsidR="0028622C">
        <w:t>bepalen. Bij een lage FIB-4 score</w:t>
      </w:r>
      <w:r w:rsidR="00D0592B">
        <w:t xml:space="preserve"> (onder de 1,3 of onder de 2 bij patiënten boven 65 jaar) is de kans op significante fibrose er</w:t>
      </w:r>
      <w:r w:rsidR="0028622C">
        <w:t>g klein. Bij een hoge FIB-4 score</w:t>
      </w:r>
      <w:r w:rsidR="00D0592B">
        <w:t xml:space="preserve"> is er indicatie voor aanvullende diagnostiek door middel van een </w:t>
      </w:r>
      <w:proofErr w:type="spellStart"/>
      <w:r w:rsidR="00D0592B">
        <w:t>fibroscan</w:t>
      </w:r>
      <w:proofErr w:type="spellEnd"/>
      <w:r w:rsidR="00D0592B">
        <w:t xml:space="preserve"> (een niet invasief echo onderzoek om de stijfheid van de lever te meten). </w:t>
      </w:r>
      <w:r w:rsidR="00034A44">
        <w:t xml:space="preserve">Bij een lage uitslag is de kans op de aanwezigheid van significante fibrose </w:t>
      </w:r>
      <w:r w:rsidR="004F13C2">
        <w:t xml:space="preserve">alsnog </w:t>
      </w:r>
      <w:r w:rsidR="00034A44">
        <w:t xml:space="preserve">erg klein </w:t>
      </w:r>
      <w:r w:rsidR="004F13C2">
        <w:t xml:space="preserve">en </w:t>
      </w:r>
      <w:r w:rsidR="00034A44">
        <w:t>kan de patiënt verder vervolgd worden in de eerste lijn</w:t>
      </w:r>
      <w:r w:rsidR="00892CC6">
        <w:t>.</w:t>
      </w:r>
      <w:r w:rsidR="00AA591E">
        <w:t xml:space="preserve"> Bij een verhoogde uitslag is er indicatie voor behandeling en follow-up in de tweede lijn.</w:t>
      </w:r>
      <w:r w:rsidR="00892CC6">
        <w:t xml:space="preserve"> </w:t>
      </w:r>
    </w:p>
    <w:p w14:paraId="716A771F" w14:textId="77777777" w:rsidR="00C900AF" w:rsidRDefault="00C900AF" w:rsidP="0021389A">
      <w:pPr>
        <w:jc w:val="both"/>
      </w:pPr>
    </w:p>
    <w:p w14:paraId="1C68CC89" w14:textId="77777777" w:rsidR="00C900AF" w:rsidRDefault="00C900AF" w:rsidP="00C900AF">
      <w:pPr>
        <w:jc w:val="both"/>
      </w:pPr>
      <w:r>
        <w:t xml:space="preserve">Klik voor meer informatie MASLD/MASH richtlijn op </w:t>
      </w:r>
      <w:hyperlink r:id="rId12" w:history="1">
        <w:r w:rsidRPr="00C900AF">
          <w:rPr>
            <w:rStyle w:val="Hyperlink"/>
          </w:rPr>
          <w:t>deze link</w:t>
        </w:r>
      </w:hyperlink>
      <w:r>
        <w:t>. NB er is nog geen NHG standaard over dit onderwerp.</w:t>
      </w:r>
    </w:p>
    <w:p w14:paraId="7B7B6960" w14:textId="77777777" w:rsidR="00C900AF" w:rsidRDefault="00C900AF" w:rsidP="0021389A">
      <w:pPr>
        <w:jc w:val="both"/>
        <w:rPr>
          <w:b/>
        </w:rPr>
      </w:pPr>
    </w:p>
    <w:p w14:paraId="48867E43" w14:textId="77777777" w:rsidR="00C900AF" w:rsidRDefault="00C900AF">
      <w:pPr>
        <w:rPr>
          <w:b/>
        </w:rPr>
      </w:pPr>
      <w:r>
        <w:rPr>
          <w:b/>
        </w:rPr>
        <w:br w:type="page"/>
      </w:r>
    </w:p>
    <w:p w14:paraId="6AA6A9E0" w14:textId="77777777" w:rsidR="0021389A" w:rsidRPr="0021389A" w:rsidRDefault="0021389A" w:rsidP="0021389A">
      <w:pPr>
        <w:jc w:val="both"/>
        <w:rPr>
          <w:b/>
        </w:rPr>
      </w:pPr>
      <w:r w:rsidRPr="0021389A">
        <w:rPr>
          <w:b/>
        </w:rPr>
        <w:lastRenderedPageBreak/>
        <w:t xml:space="preserve">Aanvragen </w:t>
      </w:r>
      <w:proofErr w:type="spellStart"/>
      <w:r w:rsidRPr="0021389A">
        <w:rPr>
          <w:b/>
        </w:rPr>
        <w:t>fibroscan</w:t>
      </w:r>
      <w:proofErr w:type="spellEnd"/>
      <w:r w:rsidR="00C900AF">
        <w:rPr>
          <w:b/>
        </w:rPr>
        <w:t xml:space="preserve"> via ZorgDomein</w:t>
      </w:r>
    </w:p>
    <w:p w14:paraId="16CFF8E7" w14:textId="77777777" w:rsidR="00AA591E" w:rsidRDefault="00034A44" w:rsidP="0021389A">
      <w:pPr>
        <w:jc w:val="both"/>
        <w:rPr>
          <w:noProof/>
        </w:rPr>
      </w:pPr>
      <w:r>
        <w:t xml:space="preserve">De </w:t>
      </w:r>
      <w:proofErr w:type="spellStart"/>
      <w:r>
        <w:t>fibroscan</w:t>
      </w:r>
      <w:proofErr w:type="spellEnd"/>
      <w:r>
        <w:t xml:space="preserve"> </w:t>
      </w:r>
      <w:r w:rsidR="00EB79DF">
        <w:t xml:space="preserve">kan rechtstreeks door </w:t>
      </w:r>
      <w:r w:rsidR="00C900AF">
        <w:t>de</w:t>
      </w:r>
      <w:r w:rsidR="0021389A">
        <w:t xml:space="preserve"> </w:t>
      </w:r>
      <w:r w:rsidR="00EB79DF">
        <w:t xml:space="preserve">huisarts aangevraagd worden via </w:t>
      </w:r>
      <w:r w:rsidR="0021389A">
        <w:t>ZorgDomein</w:t>
      </w:r>
      <w:r w:rsidR="00852BED">
        <w:t xml:space="preserve"> en wordt uitgevoerd op de poli MDL</w:t>
      </w:r>
      <w:r w:rsidR="0021389A">
        <w:t xml:space="preserve"> </w:t>
      </w:r>
      <w:proofErr w:type="spellStart"/>
      <w:r w:rsidR="0021389A">
        <w:t>Frisius</w:t>
      </w:r>
      <w:proofErr w:type="spellEnd"/>
      <w:r w:rsidR="0021389A">
        <w:t xml:space="preserve"> MC Leeuwarden</w:t>
      </w:r>
      <w:r w:rsidR="00EB79DF">
        <w:t>.</w:t>
      </w:r>
      <w:r w:rsidR="00DE5CB8">
        <w:t xml:space="preserve"> </w:t>
      </w:r>
      <w:r w:rsidR="00C900AF">
        <w:t xml:space="preserve">De huisarts </w:t>
      </w:r>
      <w:r w:rsidR="00852BED">
        <w:t>ontvangt een uitslag met een advies over behandeling en follow-up</w:t>
      </w:r>
      <w:r w:rsidR="00AA591E">
        <w:t>.</w:t>
      </w:r>
      <w:r w:rsidR="00BA1170">
        <w:rPr>
          <w:noProof/>
        </w:rPr>
        <w:t xml:space="preserve"> </w:t>
      </w:r>
    </w:p>
    <w:p w14:paraId="438C796E" w14:textId="77777777" w:rsidR="00C900AF" w:rsidRDefault="00C900AF" w:rsidP="00C900AF">
      <w:pPr>
        <w:jc w:val="both"/>
      </w:pPr>
    </w:p>
    <w:p w14:paraId="7F1B3DAF" w14:textId="77777777" w:rsidR="00C900AF" w:rsidRDefault="00C900AF" w:rsidP="0021389A">
      <w:pPr>
        <w:jc w:val="both"/>
      </w:pPr>
      <w:r w:rsidRPr="00C900AF">
        <w:rPr>
          <w:noProof/>
          <w:lang w:eastAsia="nl-NL"/>
        </w:rPr>
        <w:drawing>
          <wp:inline distT="0" distB="0" distL="0" distR="0" wp14:anchorId="25F4E5FE" wp14:editId="3F280B61">
            <wp:extent cx="5394113" cy="4351338"/>
            <wp:effectExtent l="0" t="0" r="0" b="0"/>
            <wp:docPr id="4" name="Tijdelijke aanduiding voor inhoud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jdelijke aanduiding voor inhoud 3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4113" cy="435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0C9E2" w14:textId="77777777" w:rsidR="009D45E7" w:rsidRDefault="009D45E7" w:rsidP="0021389A">
      <w:pPr>
        <w:jc w:val="both"/>
      </w:pPr>
    </w:p>
    <w:p w14:paraId="303C2FFB" w14:textId="55020CA4" w:rsidR="009D45E7" w:rsidRPr="009D45E7" w:rsidRDefault="009D45E7" w:rsidP="0021389A">
      <w:pPr>
        <w:jc w:val="both"/>
        <w:rPr>
          <w:sz w:val="16"/>
          <w:szCs w:val="16"/>
        </w:rPr>
      </w:pPr>
      <w:r w:rsidRPr="009D45E7">
        <w:rPr>
          <w:sz w:val="16"/>
          <w:szCs w:val="16"/>
        </w:rPr>
        <w:t>Deze werkafspraak is besproken en geaccordeerd door de Transmurale commissie september 2025</w:t>
      </w:r>
    </w:p>
    <w:sectPr w:rsidR="009D45E7" w:rsidRPr="009D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30F5"/>
    <w:multiLevelType w:val="hybridMultilevel"/>
    <w:tmpl w:val="D7C65946"/>
    <w:lvl w:ilvl="0" w:tplc="532E6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04"/>
    <w:rsid w:val="00034A44"/>
    <w:rsid w:val="001C3903"/>
    <w:rsid w:val="0021389A"/>
    <w:rsid w:val="0028622C"/>
    <w:rsid w:val="003969C2"/>
    <w:rsid w:val="003C24EC"/>
    <w:rsid w:val="004F13C2"/>
    <w:rsid w:val="00510067"/>
    <w:rsid w:val="00512D27"/>
    <w:rsid w:val="00521F15"/>
    <w:rsid w:val="00545495"/>
    <w:rsid w:val="00852BED"/>
    <w:rsid w:val="00892CC6"/>
    <w:rsid w:val="008D18ED"/>
    <w:rsid w:val="0093615D"/>
    <w:rsid w:val="009369C5"/>
    <w:rsid w:val="009840B7"/>
    <w:rsid w:val="009D45E7"/>
    <w:rsid w:val="009E5EFF"/>
    <w:rsid w:val="00A64DF0"/>
    <w:rsid w:val="00AA591E"/>
    <w:rsid w:val="00BA1170"/>
    <w:rsid w:val="00C02804"/>
    <w:rsid w:val="00C900AF"/>
    <w:rsid w:val="00CC2C6D"/>
    <w:rsid w:val="00D0592B"/>
    <w:rsid w:val="00DE5CB8"/>
    <w:rsid w:val="00E032FE"/>
    <w:rsid w:val="00E8585D"/>
    <w:rsid w:val="00EB5764"/>
    <w:rsid w:val="00EB79DF"/>
    <w:rsid w:val="00F3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B9F9"/>
  <w15:chartTrackingRefBased/>
  <w15:docId w15:val="{C8043BF9-4961-4888-A0FC-088310C0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6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900A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69C2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9D4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file:///\\znb.nl\Organisatiedata\Data%20MCC\Transmurale%20commissie\2025\2025-09-22\Zie%20richtlijn%20MASLD\MA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www.mdcalc.com/calc/2200/fibrosis-4-fib-4-index-liver-fibros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1DA859-1465-4887-B29C-E75DA01801A1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17DF5D4A-8ADE-4CEE-82FC-0E3CBA25512C}">
      <dgm:prSet phldrT="[Tekst]" custT="1"/>
      <dgm:spPr/>
      <dgm:t>
        <a:bodyPr/>
        <a:lstStyle/>
        <a:p>
          <a:r>
            <a:rPr lang="nl-NL" sz="1100"/>
            <a:t>Identificeer hoog-risico patienten (DMII, Obesitas, Metabool syndroom)</a:t>
          </a:r>
        </a:p>
      </dgm:t>
    </dgm:pt>
    <dgm:pt modelId="{B0624FBA-9CD5-4793-94E5-89AAECF48C7D}" type="parTrans" cxnId="{C2D83238-1063-4C02-A897-7B8B65C3D9F5}">
      <dgm:prSet/>
      <dgm:spPr/>
      <dgm:t>
        <a:bodyPr/>
        <a:lstStyle/>
        <a:p>
          <a:endParaRPr lang="nl-NL"/>
        </a:p>
      </dgm:t>
    </dgm:pt>
    <dgm:pt modelId="{19316CB4-DC0C-4CE2-AE1C-C109A8494E8A}" type="sibTrans" cxnId="{C2D83238-1063-4C02-A897-7B8B65C3D9F5}">
      <dgm:prSet/>
      <dgm:spPr/>
      <dgm:t>
        <a:bodyPr/>
        <a:lstStyle/>
        <a:p>
          <a:endParaRPr lang="nl-NL"/>
        </a:p>
      </dgm:t>
    </dgm:pt>
    <dgm:pt modelId="{6DA65232-5547-403E-B202-538FFE47DD53}">
      <dgm:prSet phldrT="[Tekst]" custT="1"/>
      <dgm:spPr/>
      <dgm:t>
        <a:bodyPr/>
        <a:lstStyle/>
        <a:p>
          <a:r>
            <a:rPr lang="nl-NL" sz="1100"/>
            <a:t>FIB-4 &gt; 1,3 (&lt;65 jr)</a:t>
          </a:r>
        </a:p>
        <a:p>
          <a:r>
            <a:rPr lang="nl-NL" sz="1100"/>
            <a:t>FIB-4 &gt; 2 (&gt;65 jr):</a:t>
          </a:r>
        </a:p>
        <a:p>
          <a:r>
            <a:rPr lang="nl-NL" sz="1100"/>
            <a:t>Verwijs voor Fibroscan</a:t>
          </a:r>
        </a:p>
      </dgm:t>
    </dgm:pt>
    <dgm:pt modelId="{A5F25727-05FD-4606-A3B0-4CCB4A88B570}" type="parTrans" cxnId="{29AF4DD0-73BA-4C91-B4B9-762E3E641AA8}">
      <dgm:prSet/>
      <dgm:spPr/>
      <dgm:t>
        <a:bodyPr/>
        <a:lstStyle/>
        <a:p>
          <a:endParaRPr lang="nl-NL"/>
        </a:p>
      </dgm:t>
    </dgm:pt>
    <dgm:pt modelId="{CD4AC477-229E-4B93-8A5A-7EDB6C9ED403}" type="sibTrans" cxnId="{29AF4DD0-73BA-4C91-B4B9-762E3E641AA8}">
      <dgm:prSet/>
      <dgm:spPr/>
      <dgm:t>
        <a:bodyPr/>
        <a:lstStyle/>
        <a:p>
          <a:endParaRPr lang="nl-NL"/>
        </a:p>
      </dgm:t>
    </dgm:pt>
    <dgm:pt modelId="{6736DF9A-73D3-4B7A-A0C9-C861A1A1A61F}">
      <dgm:prSet custT="1"/>
      <dgm:spPr/>
      <dgm:t>
        <a:bodyPr/>
        <a:lstStyle/>
        <a:p>
          <a:r>
            <a:rPr lang="nl-NL" sz="1100"/>
            <a:t>vericht elke 3-5 jaar de FIB-4 score</a:t>
          </a:r>
        </a:p>
      </dgm:t>
    </dgm:pt>
    <dgm:pt modelId="{D43FE36F-2992-40F6-B165-EE82E4272561}" type="parTrans" cxnId="{B260615A-04D9-4CAC-8ADA-47CA4D9893EC}">
      <dgm:prSet/>
      <dgm:spPr/>
      <dgm:t>
        <a:bodyPr/>
        <a:lstStyle/>
        <a:p>
          <a:endParaRPr lang="nl-NL"/>
        </a:p>
      </dgm:t>
    </dgm:pt>
    <dgm:pt modelId="{03DBF97E-546E-4C26-9422-2500C91DFC07}" type="sibTrans" cxnId="{B260615A-04D9-4CAC-8ADA-47CA4D9893EC}">
      <dgm:prSet/>
      <dgm:spPr/>
      <dgm:t>
        <a:bodyPr/>
        <a:lstStyle/>
        <a:p>
          <a:endParaRPr lang="nl-NL"/>
        </a:p>
      </dgm:t>
    </dgm:pt>
    <dgm:pt modelId="{43542AD6-E612-4B2F-BB55-AFC9E4DA8BBA}" type="pres">
      <dgm:prSet presAssocID="{631DA859-1465-4887-B29C-E75DA01801A1}" presName="linearFlow" presStyleCnt="0">
        <dgm:presLayoutVars>
          <dgm:resizeHandles val="exact"/>
        </dgm:presLayoutVars>
      </dgm:prSet>
      <dgm:spPr/>
    </dgm:pt>
    <dgm:pt modelId="{0EB7CCEC-B243-4CA8-9893-6D495E04D38A}" type="pres">
      <dgm:prSet presAssocID="{17DF5D4A-8ADE-4CEE-82FC-0E3CBA25512C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DABF4C7-6F7B-4A62-AA1D-E7774407E948}" type="pres">
      <dgm:prSet presAssocID="{19316CB4-DC0C-4CE2-AE1C-C109A8494E8A}" presName="sibTrans" presStyleLbl="sibTrans2D1" presStyleIdx="0" presStyleCnt="2"/>
      <dgm:spPr/>
      <dgm:t>
        <a:bodyPr/>
        <a:lstStyle/>
        <a:p>
          <a:endParaRPr lang="nl-NL"/>
        </a:p>
      </dgm:t>
    </dgm:pt>
    <dgm:pt modelId="{412EE59D-9E82-4E9A-86C8-F78B3686328B}" type="pres">
      <dgm:prSet presAssocID="{19316CB4-DC0C-4CE2-AE1C-C109A8494E8A}" presName="connectorText" presStyleLbl="sibTrans2D1" presStyleIdx="0" presStyleCnt="2"/>
      <dgm:spPr/>
      <dgm:t>
        <a:bodyPr/>
        <a:lstStyle/>
        <a:p>
          <a:endParaRPr lang="nl-NL"/>
        </a:p>
      </dgm:t>
    </dgm:pt>
    <dgm:pt modelId="{D6BDFF28-E375-469E-A3D6-CBF00498194F}" type="pres">
      <dgm:prSet presAssocID="{6736DF9A-73D3-4B7A-A0C9-C861A1A1A61F}" presName="node" presStyleLbl="node1" presStyleIdx="1" presStyleCnt="3" custScaleX="6019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E4A15A09-31AD-470D-89C8-09FC44A6C45B}" type="pres">
      <dgm:prSet presAssocID="{03DBF97E-546E-4C26-9422-2500C91DFC07}" presName="sibTrans" presStyleLbl="sibTrans2D1" presStyleIdx="1" presStyleCnt="2"/>
      <dgm:spPr/>
      <dgm:t>
        <a:bodyPr/>
        <a:lstStyle/>
        <a:p>
          <a:endParaRPr lang="nl-NL"/>
        </a:p>
      </dgm:t>
    </dgm:pt>
    <dgm:pt modelId="{2F8A4280-19E0-454B-9AC3-3AD267424359}" type="pres">
      <dgm:prSet presAssocID="{03DBF97E-546E-4C26-9422-2500C91DFC07}" presName="connectorText" presStyleLbl="sibTrans2D1" presStyleIdx="1" presStyleCnt="2"/>
      <dgm:spPr/>
      <dgm:t>
        <a:bodyPr/>
        <a:lstStyle/>
        <a:p>
          <a:endParaRPr lang="nl-NL"/>
        </a:p>
      </dgm:t>
    </dgm:pt>
    <dgm:pt modelId="{7C46567E-4C9F-46B0-AFC8-B1081D21F0E8}" type="pres">
      <dgm:prSet presAssocID="{6DA65232-5547-403E-B202-538FFE47DD53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29AF4DD0-73BA-4C91-B4B9-762E3E641AA8}" srcId="{631DA859-1465-4887-B29C-E75DA01801A1}" destId="{6DA65232-5547-403E-B202-538FFE47DD53}" srcOrd="2" destOrd="0" parTransId="{A5F25727-05FD-4606-A3B0-4CCB4A88B570}" sibTransId="{CD4AC477-229E-4B93-8A5A-7EDB6C9ED403}"/>
    <dgm:cxn modelId="{07164287-8FA6-42D6-BDE4-92815C764880}" type="presOf" srcId="{6736DF9A-73D3-4B7A-A0C9-C861A1A1A61F}" destId="{D6BDFF28-E375-469E-A3D6-CBF00498194F}" srcOrd="0" destOrd="0" presId="urn:microsoft.com/office/officeart/2005/8/layout/process2"/>
    <dgm:cxn modelId="{6BE14C2E-7843-4D6A-A5CC-79CF2C9147DD}" type="presOf" srcId="{03DBF97E-546E-4C26-9422-2500C91DFC07}" destId="{2F8A4280-19E0-454B-9AC3-3AD267424359}" srcOrd="1" destOrd="0" presId="urn:microsoft.com/office/officeart/2005/8/layout/process2"/>
    <dgm:cxn modelId="{C2D83238-1063-4C02-A897-7B8B65C3D9F5}" srcId="{631DA859-1465-4887-B29C-E75DA01801A1}" destId="{17DF5D4A-8ADE-4CEE-82FC-0E3CBA25512C}" srcOrd="0" destOrd="0" parTransId="{B0624FBA-9CD5-4793-94E5-89AAECF48C7D}" sibTransId="{19316CB4-DC0C-4CE2-AE1C-C109A8494E8A}"/>
    <dgm:cxn modelId="{7157E078-30EE-41EB-8C26-855C195E034E}" type="presOf" srcId="{19316CB4-DC0C-4CE2-AE1C-C109A8494E8A}" destId="{412EE59D-9E82-4E9A-86C8-F78B3686328B}" srcOrd="1" destOrd="0" presId="urn:microsoft.com/office/officeart/2005/8/layout/process2"/>
    <dgm:cxn modelId="{C75E69F0-818C-42F6-B153-6AF6E0F73F63}" type="presOf" srcId="{631DA859-1465-4887-B29C-E75DA01801A1}" destId="{43542AD6-E612-4B2F-BB55-AFC9E4DA8BBA}" srcOrd="0" destOrd="0" presId="urn:microsoft.com/office/officeart/2005/8/layout/process2"/>
    <dgm:cxn modelId="{29B3BB03-95E0-408E-A838-AF97429BD621}" type="presOf" srcId="{6DA65232-5547-403E-B202-538FFE47DD53}" destId="{7C46567E-4C9F-46B0-AFC8-B1081D21F0E8}" srcOrd="0" destOrd="0" presId="urn:microsoft.com/office/officeart/2005/8/layout/process2"/>
    <dgm:cxn modelId="{64EDA179-C366-41B2-A6FB-DAFF216F8EE5}" type="presOf" srcId="{03DBF97E-546E-4C26-9422-2500C91DFC07}" destId="{E4A15A09-31AD-470D-89C8-09FC44A6C45B}" srcOrd="0" destOrd="0" presId="urn:microsoft.com/office/officeart/2005/8/layout/process2"/>
    <dgm:cxn modelId="{0718A66E-46B8-4A68-B525-5477CA256990}" type="presOf" srcId="{17DF5D4A-8ADE-4CEE-82FC-0E3CBA25512C}" destId="{0EB7CCEC-B243-4CA8-9893-6D495E04D38A}" srcOrd="0" destOrd="0" presId="urn:microsoft.com/office/officeart/2005/8/layout/process2"/>
    <dgm:cxn modelId="{08A28A0B-B1C7-4BA3-98A0-A109B672A481}" type="presOf" srcId="{19316CB4-DC0C-4CE2-AE1C-C109A8494E8A}" destId="{6DABF4C7-6F7B-4A62-AA1D-E7774407E948}" srcOrd="0" destOrd="0" presId="urn:microsoft.com/office/officeart/2005/8/layout/process2"/>
    <dgm:cxn modelId="{B260615A-04D9-4CAC-8ADA-47CA4D9893EC}" srcId="{631DA859-1465-4887-B29C-E75DA01801A1}" destId="{6736DF9A-73D3-4B7A-A0C9-C861A1A1A61F}" srcOrd="1" destOrd="0" parTransId="{D43FE36F-2992-40F6-B165-EE82E4272561}" sibTransId="{03DBF97E-546E-4C26-9422-2500C91DFC07}"/>
    <dgm:cxn modelId="{F6E8D249-408D-4AD4-867B-0679B202B4F5}" type="presParOf" srcId="{43542AD6-E612-4B2F-BB55-AFC9E4DA8BBA}" destId="{0EB7CCEC-B243-4CA8-9893-6D495E04D38A}" srcOrd="0" destOrd="0" presId="urn:microsoft.com/office/officeart/2005/8/layout/process2"/>
    <dgm:cxn modelId="{E2410673-C5BB-4054-BCDE-F579B411A730}" type="presParOf" srcId="{43542AD6-E612-4B2F-BB55-AFC9E4DA8BBA}" destId="{6DABF4C7-6F7B-4A62-AA1D-E7774407E948}" srcOrd="1" destOrd="0" presId="urn:microsoft.com/office/officeart/2005/8/layout/process2"/>
    <dgm:cxn modelId="{E1FB4EF3-8FBA-41DA-8732-793395445EA9}" type="presParOf" srcId="{6DABF4C7-6F7B-4A62-AA1D-E7774407E948}" destId="{412EE59D-9E82-4E9A-86C8-F78B3686328B}" srcOrd="0" destOrd="0" presId="urn:microsoft.com/office/officeart/2005/8/layout/process2"/>
    <dgm:cxn modelId="{CDDA8F1B-F71B-404B-80DD-CB0460662C1E}" type="presParOf" srcId="{43542AD6-E612-4B2F-BB55-AFC9E4DA8BBA}" destId="{D6BDFF28-E375-469E-A3D6-CBF00498194F}" srcOrd="2" destOrd="0" presId="urn:microsoft.com/office/officeart/2005/8/layout/process2"/>
    <dgm:cxn modelId="{0E223C14-32C9-4B62-921F-223983DC8CE0}" type="presParOf" srcId="{43542AD6-E612-4B2F-BB55-AFC9E4DA8BBA}" destId="{E4A15A09-31AD-470D-89C8-09FC44A6C45B}" srcOrd="3" destOrd="0" presId="urn:microsoft.com/office/officeart/2005/8/layout/process2"/>
    <dgm:cxn modelId="{57BC5FCC-E88D-4379-A0D3-83EC481F4BD3}" type="presParOf" srcId="{E4A15A09-31AD-470D-89C8-09FC44A6C45B}" destId="{2F8A4280-19E0-454B-9AC3-3AD267424359}" srcOrd="0" destOrd="0" presId="urn:microsoft.com/office/officeart/2005/8/layout/process2"/>
    <dgm:cxn modelId="{47AE39B2-D9E6-4315-92BF-D66D35865B8D}" type="presParOf" srcId="{43542AD6-E612-4B2F-BB55-AFC9E4DA8BBA}" destId="{7C46567E-4C9F-46B0-AFC8-B1081D21F0E8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B7CCEC-B243-4CA8-9893-6D495E04D38A}">
      <dsp:nvSpPr>
        <dsp:cNvPr id="0" name=""/>
        <dsp:cNvSpPr/>
      </dsp:nvSpPr>
      <dsp:spPr>
        <a:xfrm>
          <a:off x="275748" y="0"/>
          <a:ext cx="1677352" cy="931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Identificeer hoog-risico patienten (DMII, Obesitas, Metabool syndroom)</a:t>
          </a:r>
        </a:p>
      </dsp:txBody>
      <dsp:txXfrm>
        <a:off x="303041" y="27293"/>
        <a:ext cx="1622766" cy="877276"/>
      </dsp:txXfrm>
    </dsp:sp>
    <dsp:sp modelId="{6DABF4C7-6F7B-4A62-AA1D-E7774407E948}">
      <dsp:nvSpPr>
        <dsp:cNvPr id="0" name=""/>
        <dsp:cNvSpPr/>
      </dsp:nvSpPr>
      <dsp:spPr>
        <a:xfrm rot="5400000">
          <a:off x="939700" y="955159"/>
          <a:ext cx="349448" cy="4193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700" kern="1200"/>
        </a:p>
      </dsp:txBody>
      <dsp:txXfrm rot="-5400000">
        <a:off x="988623" y="990104"/>
        <a:ext cx="251602" cy="244614"/>
      </dsp:txXfrm>
    </dsp:sp>
    <dsp:sp modelId="{D6BDFF28-E375-469E-A3D6-CBF00498194F}">
      <dsp:nvSpPr>
        <dsp:cNvPr id="0" name=""/>
        <dsp:cNvSpPr/>
      </dsp:nvSpPr>
      <dsp:spPr>
        <a:xfrm>
          <a:off x="609600" y="1397793"/>
          <a:ext cx="1009648" cy="931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vericht elke 3-5 jaar de FIB-4 score</a:t>
          </a:r>
        </a:p>
      </dsp:txBody>
      <dsp:txXfrm>
        <a:off x="636893" y="1425086"/>
        <a:ext cx="955062" cy="877276"/>
      </dsp:txXfrm>
    </dsp:sp>
    <dsp:sp modelId="{E4A15A09-31AD-470D-89C8-09FC44A6C45B}">
      <dsp:nvSpPr>
        <dsp:cNvPr id="0" name=""/>
        <dsp:cNvSpPr/>
      </dsp:nvSpPr>
      <dsp:spPr>
        <a:xfrm rot="5400000">
          <a:off x="939700" y="2352952"/>
          <a:ext cx="349448" cy="4193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700" kern="1200"/>
        </a:p>
      </dsp:txBody>
      <dsp:txXfrm rot="-5400000">
        <a:off x="988623" y="2387897"/>
        <a:ext cx="251602" cy="244614"/>
      </dsp:txXfrm>
    </dsp:sp>
    <dsp:sp modelId="{7C46567E-4C9F-46B0-AFC8-B1081D21F0E8}">
      <dsp:nvSpPr>
        <dsp:cNvPr id="0" name=""/>
        <dsp:cNvSpPr/>
      </dsp:nvSpPr>
      <dsp:spPr>
        <a:xfrm>
          <a:off x="275748" y="2795587"/>
          <a:ext cx="1677352" cy="9318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FIB-4 &gt; 1,3 (&lt;65 jr)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FIB-4 &gt; 2 (&gt;65 jr):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100" kern="1200"/>
            <a:t>Verwijs voor Fibroscan</a:t>
          </a:r>
        </a:p>
      </dsp:txBody>
      <dsp:txXfrm>
        <a:off x="303041" y="2822880"/>
        <a:ext cx="1622766" cy="877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5586-A10E-4F60-B755-7FB271CD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Rooij, van, Janne</dc:creator>
  <cp:keywords/>
  <dc:description/>
  <cp:lastModifiedBy>Marga Driessens</cp:lastModifiedBy>
  <cp:revision>3</cp:revision>
  <dcterms:created xsi:type="dcterms:W3CDTF">2025-10-28T19:36:00Z</dcterms:created>
  <dcterms:modified xsi:type="dcterms:W3CDTF">2025-11-07T08:41:00Z</dcterms:modified>
</cp:coreProperties>
</file>